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color w:val="56685F"/>
          <w:sz w:val="18"/>
          <w:szCs w:val="18"/>
        </w:rPr>
        <w:t xml:space="preserve">Ref TRF-001  |  Version 1.0  |  Reviewed June 2026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1C4D44"/>
          <w:sz w:val="18"/>
          <w:szCs w:val="18"/>
        </w:rPr>
        <w:t xml:space="preserve">TRANSFERS</w:t>
      </w:r>
    </w:p>
    <w:p>
      <w:pPr>
        <w:spacing w:after="160"/>
      </w:pPr>
      <w:r>
        <w:rPr>
          <w:rFonts w:ascii="Georgia" w:cs="Georgia" w:eastAsia="Georgia" w:hAnsi="Georgia"/>
          <w:b/>
          <w:bCs/>
          <w:color w:val="15302A"/>
          <w:sz w:val="40"/>
          <w:szCs w:val="40"/>
        </w:rPr>
        <w:t xml:space="preserve">Transferring records out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color w:val="15302A"/>
          <w:sz w:val="23"/>
          <w:szCs w:val="23"/>
        </w:rPr>
        <w:t xml:space="preserve">Transfer a patient's records out promptly and lawfully when they move to another practice, within the expected timeframe and without withholding records over a debt.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Who it is for: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Reception and admin staff handling a transfer-out request.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You will need: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The transfer request, the patient's details, and your practice management system.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The steps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Confirm the request is genuine and identify the patient correctly by name, date of birth and NHI. If it did not come through your usual channel, route it there first.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Log the request 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transfer record]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 and attach it to the patient's notes.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Send the record by GP2GP. Send any old paper notes to the new practice by tracked courier.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Record how and when the notes were sent, both in the patient's notes and in </w:t>
      </w:r>
      <w:r>
        <w:rPr>
          <w:rFonts w:ascii="Arial" w:cs="Arial" w:eastAsia="Arial" w:hAnsi="Arial"/>
          <w:b/>
          <w:bCs/>
          <w:color w:val="B9772A"/>
          <w:sz w:val="22"/>
          <w:szCs w:val="22"/>
        </w:rPr>
        <w:t xml:space="preserve">[your transfer record]</w:t>
      </w: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Update the patient's status: inactivate the record, suspend their patient portal access, and remove them from enrolment so funding and recalls are correct.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Aim to send within 10 working days, the expected timeframe for a record transfer.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Sending the notes in Medtech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Open Tools, then GP2GP Patient Record Export.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Enter the receiving GP and practice details from the request.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In patient demographics, make sure every section is selected for export, then export. If the file is very large, send it in two parts.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When prompted, inactivate the patient, then file the record.</w:t>
      </w:r>
    </w:p>
    <w:p>
      <w:pPr>
        <w:spacing w:after="0" w:before="200"/>
      </w:pPr>
    </w:p>
    <w:tbl>
      <w:tblPr>
        <w:tblW w:type="dxa" w:w="9026"/>
        <w:tblBorders>
          <w:top w:val="single" w:color="D9933B" w:sz="4"/>
          <w:left w:val="single" w:color="D9933B" w:sz="12"/>
          <w:bottom w:val="single" w:color="D9933B" w:sz="4"/>
          <w:right w:val="single" w:color="D9933B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6E7D0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B9772A"/>
                <w:sz w:val="18"/>
                <w:szCs w:val="18"/>
              </w:rPr>
              <w:t xml:space="preserve">WATCH OUT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15302A"/>
                <w:sz w:val="22"/>
                <w:szCs w:val="22"/>
              </w:rPr>
              <w:t xml:space="preserve">Never withhold or delay a transfer because the patient owes money. You can still try to recover a debt, but the records must go. A transfer is never held hostage to an account.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E1DB" w:sz="4" w:space="8"/>
      </w:pBdr>
    </w:pPr>
    <w:r>
      <w:rPr>
        <w:rFonts w:ascii="Arial" w:cs="Arial" w:eastAsia="Arial" w:hAnsi="Arial"/>
        <w:color w:val="56685F"/>
        <w:sz w:val="15"/>
        <w:szCs w:val="15"/>
      </w:rPr>
      <w:t xml:space="preserve">Licensed to your practice. Current as at June 2026. Valid while subscribed. Not for redistribution.   Ref TRF-001  |  @theclinic  |  theclinic.co.nz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2026-06-14T01:42:57.506Z</dcterms:created>
  <dcterms:modified xsi:type="dcterms:W3CDTF">2026-06-14T01:42:57.506Z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