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rFonts w:ascii="Arial" w:cs="Arial" w:eastAsia="Arial" w:hAnsi="Arial"/>
          <w:color w:val="56685F"/>
          <w:sz w:val="18"/>
          <w:szCs w:val="18"/>
        </w:rPr>
        <w:t xml:space="preserve">Ref TRF-002  |  Version 1.0  |  Reviewed June 2026</w:t>
      </w:r>
    </w:p>
    <w:p>
      <w:pPr>
        <w:spacing w:after="20"/>
      </w:pPr>
      <w:r>
        <w:rPr>
          <w:rFonts w:ascii="Arial" w:cs="Arial" w:eastAsia="Arial" w:hAnsi="Arial"/>
          <w:b/>
          <w:bCs/>
          <w:color w:val="1C4D44"/>
          <w:sz w:val="18"/>
          <w:szCs w:val="18"/>
        </w:rPr>
        <w:t xml:space="preserve">TRANSFERS</w:t>
      </w:r>
    </w:p>
    <w:p>
      <w:pPr>
        <w:spacing w:after="160"/>
      </w:pPr>
      <w:r>
        <w:rPr>
          <w:rFonts w:ascii="Georgia" w:cs="Georgia" w:eastAsia="Georgia" w:hAnsi="Georgia"/>
          <w:b/>
          <w:bCs/>
          <w:color w:val="15302A"/>
          <w:sz w:val="40"/>
          <w:szCs w:val="40"/>
        </w:rPr>
        <w:t xml:space="preserve">Receiving records in</w:t>
      </w:r>
    </w:p>
    <w:p>
      <w:pPr>
        <w:spacing w:after="200"/>
      </w:pPr>
      <w:r>
        <w:rPr>
          <w:rFonts w:ascii="Arial" w:cs="Arial" w:eastAsia="Arial" w:hAnsi="Arial"/>
          <w:b w:val="false"/>
          <w:bCs w:val="false"/>
          <w:color w:val="15302A"/>
          <w:sz w:val="23"/>
          <w:szCs w:val="23"/>
        </w:rPr>
        <w:t xml:space="preserve">Receive and file an incoming record against the right patient quickly and safely.</w:t>
      </w:r>
    </w:p>
    <w:p>
      <w:pPr>
        <w:spacing w:after="60"/>
      </w:pPr>
      <w:r>
        <w:rPr>
          <w:b/>
          <w:bCs/>
          <w:color w:val="15302A"/>
          <w:sz w:val="22"/>
          <w:szCs w:val="22"/>
        </w:rPr>
        <w:t xml:space="preserve">Who it is for:  </w:t>
      </w:r>
      <w:r>
        <w:rPr>
          <w:rFonts w:ascii="Arial" w:cs="Arial" w:eastAsia="Arial" w:hAnsi="Arial"/>
          <w:b w:val="false"/>
          <w:bCs w:val="false"/>
          <w:color w:val="56685F"/>
          <w:sz w:val="22"/>
          <w:szCs w:val="22"/>
        </w:rPr>
        <w:t xml:space="preserve">Reception and admin staff receiving a transfer in.</w:t>
      </w:r>
    </w:p>
    <w:p>
      <w:pPr>
        <w:spacing w:after="60"/>
      </w:pPr>
      <w:r>
        <w:rPr>
          <w:b/>
          <w:bCs/>
          <w:color w:val="15302A"/>
          <w:sz w:val="22"/>
          <w:szCs w:val="22"/>
        </w:rPr>
        <w:t xml:space="preserve">You will need:  </w:t>
      </w:r>
      <w:r>
        <w:rPr>
          <w:rFonts w:ascii="Arial" w:cs="Arial" w:eastAsia="Arial" w:hAnsi="Arial"/>
          <w:b w:val="false"/>
          <w:bCs w:val="false"/>
          <w:color w:val="56685F"/>
          <w:sz w:val="22"/>
          <w:szCs w:val="22"/>
        </w:rPr>
        <w:t xml:space="preserve">The incoming record, the patient's enrolment, and your practice management system.</w:t>
      </w:r>
    </w:p>
    <w:p>
      <w:pPr>
        <w:spacing w:after="140" w:before="280"/>
      </w:pPr>
      <w:r>
        <w:rPr>
          <w:rFonts w:ascii="Georgia" w:cs="Georgia" w:eastAsia="Georgia" w:hAnsi="Georgia"/>
          <w:b/>
          <w:bCs/>
          <w:color w:val="1C4D44"/>
          <w:sz w:val="26"/>
          <w:szCs w:val="26"/>
        </w:rPr>
        <w:t xml:space="preserve">The steps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Match the record to the patient by name, date of birth and NHI before filing anything.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Import or attach the record to the correct patient in your system.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Flag anything urgent, such as recent results, alerts or current medications, to a clinician rather than just filing it.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Check the enrolment is complete so the patient is funded and on recalls.</w:t>
      </w:r>
    </w:p>
    <w:p>
      <w:pPr>
        <w:pStyle w:val="ListParagraph"/>
        <w:numPr>
          <w:ilvl w:val="0"/>
          <w:numId w:val="2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Record that the record was received and filed, with the date.</w:t>
      </w:r>
    </w:p>
    <w:p>
      <w:pPr>
        <w:spacing w:after="140" w:before="280"/>
      </w:pPr>
      <w:r>
        <w:rPr>
          <w:rFonts w:ascii="Georgia" w:cs="Georgia" w:eastAsia="Georgia" w:hAnsi="Georgia"/>
          <w:b/>
          <w:bCs/>
          <w:color w:val="1C4D44"/>
          <w:sz w:val="26"/>
          <w:szCs w:val="26"/>
        </w:rPr>
        <w:t xml:space="preserve">Filing the record in Medtech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Open the patient's record and confirm the NHI matches.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Import the GP2GP record, or attach the file through the attachment manager.</w:t>
      </w:r>
    </w:p>
    <w:p>
      <w:pPr>
        <w:pStyle w:val="ListParagraph"/>
        <w:numPr>
          <w:ilvl w:val="0"/>
          <w:numId w:val="3"/>
        </w:numPr>
        <w:spacing w:after="120"/>
      </w:pPr>
      <w:r>
        <w:rPr>
          <w:rFonts w:ascii="Arial" w:cs="Arial" w:eastAsia="Arial" w:hAnsi="Arial"/>
          <w:b w:val="false"/>
          <w:bCs w:val="false"/>
          <w:color w:val="15302A"/>
          <w:sz w:val="22"/>
          <w:szCs w:val="22"/>
        </w:rPr>
        <w:t xml:space="preserve">Route any urgent items to the right provider's inbox.</w:t>
      </w:r>
    </w:p>
    <w:p>
      <w:pPr>
        <w:spacing w:after="0" w:before="200"/>
      </w:pPr>
    </w:p>
    <w:tbl>
      <w:tblPr>
        <w:tblW w:type="dxa" w:w="9026"/>
        <w:tblBorders>
          <w:top w:val="single" w:color="D9933B" w:sz="4"/>
          <w:left w:val="single" w:color="D9933B" w:sz="12"/>
          <w:bottom w:val="single" w:color="D9933B" w:sz="4"/>
          <w:right w:val="single" w:color="D9933B" w:sz="4"/>
          <w:insideH w:val="single" w:color="auto" w:sz="4"/>
          <w:insideV w:val="single" w:color="auto" w:sz="4"/>
        </w:tblBorders>
      </w:tblPr>
      <w:tblGrid>
        <w:gridCol w:w="9026"/>
      </w:tblGrid>
      <w:tr>
        <w:tc>
          <w:tcPr>
            <w:tcW w:type="dxa" w:w="9026"/>
            <w:shd w:fill="F6E7D0" w:color="auto" w:val="clear"/>
            <w:tcMar>
              <w:top w:type="dxa" w:w="120"/>
              <w:left w:type="dxa" w:w="16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B9772A"/>
                <w:sz w:val="18"/>
                <w:szCs w:val="18"/>
              </w:rPr>
              <w:t xml:space="preserve">WATCH OUT</w:t>
            </w:r>
          </w:p>
          <w:p>
            <w:r>
              <w:rPr>
                <w:rFonts w:ascii="Arial" w:cs="Arial" w:eastAsia="Arial" w:hAnsi="Arial"/>
                <w:b w:val="false"/>
                <w:bCs w:val="false"/>
                <w:color w:val="15302A"/>
                <w:sz w:val="22"/>
                <w:szCs w:val="22"/>
              </w:rPr>
              <w:t xml:space="preserve">Never file an incoming record without matching it to the right patient first. A record filed to the wrong patient is a serious safety risk.</w:t>
            </w:r>
          </w:p>
        </w:tc>
      </w:tr>
    </w:tbl>
    <w:sectPr>
      <w:footerReference w:type="default" r:id="rId7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D8E1DB" w:sz="4" w:space="8"/>
      </w:pBdr>
    </w:pPr>
    <w:r>
      <w:rPr>
        <w:rFonts w:ascii="Arial" w:cs="Arial" w:eastAsia="Arial" w:hAnsi="Arial"/>
        <w:color w:val="56685F"/>
        <w:sz w:val="15"/>
        <w:szCs w:val="15"/>
      </w:rPr>
      <w:t xml:space="preserve">Licensed to your practice. Current as at June 2026. Valid while subscribed. Not for redistribution.   Ref TRF-002  |  @theclinic  |  theclinic.co.nz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2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620" w:hanging="32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2026-06-14T01:42:57.560Z</dcterms:created>
  <dcterms:modified xsi:type="dcterms:W3CDTF">2026-06-14T01:42:57.560Z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